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210" w:y="232"/>
        <w:widowControl w:val="0"/>
        <w:rPr>
          <w:sz w:val="2"/>
          <w:szCs w:val="2"/>
        </w:rPr>
      </w:pPr>
      <w:r>
        <w:drawing>
          <wp:inline>
            <wp:extent cx="10473055" cy="734568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0473055" cy="7345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31" w:h="1216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76" w:y="306"/>
        <w:widowControl w:val="0"/>
        <w:rPr>
          <w:sz w:val="2"/>
          <w:szCs w:val="2"/>
        </w:rPr>
      </w:pPr>
      <w:r>
        <w:drawing>
          <wp:inline>
            <wp:extent cx="7357745" cy="10527665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357745" cy="10527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0" w:y="238"/>
        <w:widowControl w:val="0"/>
        <w:rPr>
          <w:sz w:val="2"/>
          <w:szCs w:val="2"/>
        </w:rPr>
      </w:pPr>
      <w:r>
        <w:drawing>
          <wp:inline>
            <wp:extent cx="7412990" cy="1044829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412990" cy="10448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64" w:y="238"/>
        <w:widowControl w:val="0"/>
        <w:rPr>
          <w:sz w:val="2"/>
          <w:szCs w:val="2"/>
        </w:rPr>
      </w:pPr>
      <w:r>
        <w:drawing>
          <wp:inline>
            <wp:extent cx="7369810" cy="1057021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369810" cy="10570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5" w:y="238"/>
        <w:widowControl w:val="0"/>
        <w:rPr>
          <w:sz w:val="2"/>
          <w:szCs w:val="2"/>
        </w:rPr>
      </w:pPr>
      <w:r>
        <w:drawing>
          <wp:inline>
            <wp:extent cx="7394575" cy="1055243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394575" cy="10552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4" w:y="238"/>
        <w:widowControl w:val="0"/>
        <w:rPr>
          <w:sz w:val="2"/>
          <w:szCs w:val="2"/>
        </w:rPr>
      </w:pPr>
      <w:r>
        <w:drawing>
          <wp:inline>
            <wp:extent cx="7382510" cy="1049147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382510" cy="10491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0" w:y="286"/>
        <w:widowControl w:val="0"/>
        <w:rPr>
          <w:sz w:val="2"/>
          <w:szCs w:val="2"/>
        </w:rPr>
      </w:pPr>
      <w:r>
        <w:drawing>
          <wp:inline>
            <wp:extent cx="7339330" cy="1024763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339330" cy="10247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11" w:y="238"/>
        <w:widowControl w:val="0"/>
        <w:rPr>
          <w:sz w:val="2"/>
          <w:szCs w:val="2"/>
        </w:rPr>
      </w:pPr>
      <w:r>
        <w:drawing>
          <wp:inline>
            <wp:extent cx="7437120" cy="1024763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437120" cy="10247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4" w:y="152"/>
        <w:widowControl w:val="0"/>
        <w:rPr>
          <w:sz w:val="2"/>
          <w:szCs w:val="2"/>
        </w:rPr>
      </w:pPr>
      <w:r>
        <w:drawing>
          <wp:inline>
            <wp:extent cx="10424160" cy="7376160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10424160" cy="7376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31" w:h="1216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61" w:y="152"/>
        <w:widowControl w:val="0"/>
        <w:rPr>
          <w:sz w:val="2"/>
          <w:szCs w:val="2"/>
        </w:rPr>
      </w:pPr>
      <w:r>
        <w:drawing>
          <wp:inline>
            <wp:extent cx="10503535" cy="6248400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0503535" cy="6248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31" w:h="1216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45" w:y="152"/>
        <w:widowControl w:val="0"/>
        <w:rPr>
          <w:sz w:val="2"/>
          <w:szCs w:val="2"/>
        </w:rPr>
      </w:pPr>
      <w:r>
        <w:drawing>
          <wp:inline>
            <wp:extent cx="10393680" cy="735774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0393680" cy="7357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31" w:h="1216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82" w:y="152"/>
        <w:widowControl w:val="0"/>
        <w:rPr>
          <w:sz w:val="2"/>
          <w:szCs w:val="2"/>
        </w:rPr>
      </w:pPr>
      <w:r>
        <w:drawing>
          <wp:inline>
            <wp:extent cx="10600690" cy="7443470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0600690" cy="7443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31" w:h="1216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3" w:y="361"/>
        <w:widowControl w:val="0"/>
        <w:rPr>
          <w:sz w:val="2"/>
          <w:szCs w:val="2"/>
        </w:rPr>
      </w:pPr>
      <w:r>
        <w:drawing>
          <wp:inline>
            <wp:extent cx="7357745" cy="1051560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7357745" cy="10515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4" w:y="361"/>
        <w:widowControl w:val="0"/>
        <w:rPr>
          <w:sz w:val="2"/>
          <w:szCs w:val="2"/>
        </w:rPr>
      </w:pPr>
      <w:r>
        <w:drawing>
          <wp:inline>
            <wp:extent cx="7455535" cy="10070465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7455535" cy="10070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4" w:y="310"/>
        <w:widowControl w:val="0"/>
        <w:rPr>
          <w:sz w:val="2"/>
          <w:szCs w:val="2"/>
        </w:rPr>
      </w:pPr>
      <w:r>
        <w:drawing>
          <wp:inline>
            <wp:extent cx="10473055" cy="7223760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10473055" cy="722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31" w:h="1216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15955" w:h="701" w:hRule="exact" w:wrap="none" w:vAnchor="page" w:hAnchor="page" w:x="470" w:y="896"/>
        <w:widowControl w:val="0"/>
        <w:shd w:val="clear" w:color="auto" w:fill="auto"/>
        <w:bidi w:val="0"/>
        <w:spacing w:before="0" w:after="0"/>
        <w:ind w:left="10680" w:right="0" w:firstLine="0"/>
        <w:jc w:val="left"/>
      </w:pPr>
      <w:r>
        <w:rPr>
          <w:color w:val="000000"/>
          <w:spacing w:val="0"/>
          <w:w w:val="100"/>
          <w:position w:val="0"/>
        </w:rPr>
        <w:t>Приложение № 2</w:t>
      </w:r>
    </w:p>
    <w:p>
      <w:pPr>
        <w:pStyle w:val="Style2"/>
        <w:keepNext w:val="0"/>
        <w:keepLines w:val="0"/>
        <w:framePr w:w="15955" w:h="701" w:hRule="exact" w:wrap="none" w:vAnchor="page" w:hAnchor="page" w:x="470" w:y="896"/>
        <w:widowControl w:val="0"/>
        <w:shd w:val="clear" w:color="auto" w:fill="auto"/>
        <w:bidi w:val="0"/>
        <w:spacing w:before="0" w:after="0"/>
        <w:ind w:left="10680" w:right="0" w:firstLine="0"/>
        <w:jc w:val="left"/>
      </w:pPr>
      <w:r>
        <w:rPr>
          <w:color w:val="000000"/>
          <w:spacing w:val="0"/>
          <w:w w:val="100"/>
          <w:position w:val="0"/>
        </w:rPr>
        <w:t>к плану финансово-хозяйственной деятельности муниципального учреждения</w:t>
      </w:r>
    </w:p>
    <w:p>
      <w:pPr>
        <w:pStyle w:val="Style4"/>
        <w:keepNext w:val="0"/>
        <w:keepLines w:val="0"/>
        <w:framePr w:w="15955" w:h="317" w:hRule="exact" w:wrap="none" w:vAnchor="page" w:hAnchor="page" w:x="470" w:y="2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  <w:sz w:val="24"/>
          <w:szCs w:val="24"/>
        </w:rPr>
        <w:t>Расчеты (обоснования) к плану финансово-хозяйственной деятельности муниципального учреждения</w:t>
      </w:r>
      <w:bookmarkEnd w:id="0"/>
      <w:bookmarkEnd w:id="1"/>
      <w:bookmarkEnd w:id="2"/>
    </w:p>
    <w:p>
      <w:pPr>
        <w:pStyle w:val="Style6"/>
        <w:keepNext w:val="0"/>
        <w:keepLines w:val="0"/>
        <w:framePr w:w="15955" w:h="288" w:hRule="exact" w:wrap="none" w:vAnchor="page" w:hAnchor="page" w:x="470" w:y="2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3" w:name="bookmark3"/>
      <w:bookmarkStart w:id="4" w:name="bookmark4"/>
      <w:bookmarkStart w:id="5" w:name="bookmark5"/>
      <w:r>
        <w:rPr>
          <w:color w:val="000000"/>
          <w:spacing w:val="0"/>
          <w:w w:val="100"/>
          <w:position w:val="0"/>
        </w:rPr>
        <w:t>1. Расчеты (обоснования) выплат персоналу (строка 210)</w:t>
      </w:r>
      <w:bookmarkEnd w:id="3"/>
      <w:bookmarkEnd w:id="4"/>
      <w:bookmarkEnd w:id="5"/>
    </w:p>
    <w:p>
      <w:pPr>
        <w:pStyle w:val="Style6"/>
        <w:keepNext w:val="0"/>
        <w:keepLines w:val="0"/>
        <w:framePr w:wrap="none" w:vAnchor="page" w:hAnchor="page" w:x="470" w:y="33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" w:name="bookmark3"/>
      <w:bookmarkStart w:id="4" w:name="bookmark4"/>
      <w:bookmarkStart w:id="6" w:name="bookmark6"/>
      <w:r>
        <w:rPr>
          <w:color w:val="000000"/>
          <w:spacing w:val="0"/>
          <w:w w:val="100"/>
          <w:position w:val="0"/>
        </w:rPr>
        <w:t xml:space="preserve">Код видов расходов </w:t>
      </w:r>
      <w:r>
        <w:rPr>
          <w:color w:val="000000"/>
          <w:spacing w:val="0"/>
          <w:w w:val="100"/>
          <w:position w:val="0"/>
          <w:u w:val="single"/>
        </w:rPr>
        <w:t>111</w:t>
      </w:r>
      <w:bookmarkEnd w:id="3"/>
      <w:bookmarkEnd w:id="4"/>
      <w:bookmarkEnd w:id="6"/>
    </w:p>
    <w:p>
      <w:pPr>
        <w:pStyle w:val="Style6"/>
        <w:keepNext w:val="0"/>
        <w:keepLines w:val="0"/>
        <w:framePr w:wrap="none" w:vAnchor="page" w:hAnchor="page" w:x="470" w:y="3723"/>
        <w:widowControl w:val="0"/>
        <w:shd w:val="clear" w:color="auto" w:fill="auto"/>
        <w:bidi w:val="0"/>
        <w:spacing w:before="0" w:after="0" w:line="240" w:lineRule="auto"/>
        <w:ind w:left="43" w:right="0" w:firstLine="0"/>
        <w:jc w:val="left"/>
      </w:pPr>
      <w:bookmarkStart w:id="3" w:name="bookmark3"/>
      <w:bookmarkStart w:id="4" w:name="bookmark4"/>
      <w:bookmarkStart w:id="7" w:name="bookmark7"/>
      <w:r>
        <w:rPr>
          <w:color w:val="000000"/>
          <w:spacing w:val="0"/>
          <w:w w:val="100"/>
          <w:position w:val="0"/>
        </w:rPr>
        <w:t>Источник финансового обеспечения</w:t>
      </w:r>
      <w:bookmarkEnd w:id="3"/>
      <w:bookmarkEnd w:id="4"/>
      <w:bookmarkEnd w:id="7"/>
    </w:p>
    <w:p>
      <w:pPr>
        <w:pStyle w:val="Style9"/>
        <w:keepNext w:val="0"/>
        <w:keepLines w:val="0"/>
        <w:framePr w:wrap="none" w:vAnchor="page" w:hAnchor="page" w:x="5064" w:y="3728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Бюджет (Городские средства)</w:t>
      </w:r>
    </w:p>
    <w:p>
      <w:pPr>
        <w:pStyle w:val="Style11"/>
        <w:keepNext w:val="0"/>
        <w:keepLines w:val="0"/>
        <w:framePr w:wrap="none" w:vAnchor="page" w:hAnchor="page" w:x="5865" w:y="41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</w:rPr>
        <w:t>1.1. Расчеты (обоснования) расходов на оплату труда</w:t>
      </w:r>
    </w:p>
    <w:tbl>
      <w:tblPr>
        <w:tblOverlap w:val="never"/>
        <w:jc w:val="left"/>
        <w:tblLayout w:type="fixed"/>
      </w:tblPr>
      <w:tblGrid>
        <w:gridCol w:w="590"/>
        <w:gridCol w:w="2347"/>
        <w:gridCol w:w="1531"/>
        <w:gridCol w:w="1757"/>
        <w:gridCol w:w="1685"/>
        <w:gridCol w:w="1790"/>
        <w:gridCol w:w="1690"/>
        <w:gridCol w:w="1478"/>
        <w:gridCol w:w="1483"/>
        <w:gridCol w:w="1603"/>
      </w:tblGrid>
      <w:tr>
        <w:trPr>
          <w:trHeight w:val="27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№ п/п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Должность, группа должностей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Установленная численность, единиц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Среднемесячный размер оплаты труда на одного работника, руб.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Ежемесячная надбавка к должностному окладу, %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Районный коэффициент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Фонд оплаты труда в год, руб. (гр. 3 х гр. 4 х (1 + гр. 8/100) х гр. 9 х 12)</w:t>
            </w:r>
          </w:p>
        </w:tc>
      </w:tr>
      <w:tr>
        <w:trPr>
          <w:trHeight w:val="26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всего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в том числе: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framePr w:w="15955" w:h="4570" w:wrap="none" w:vAnchor="page" w:hAnchor="page" w:x="470" w:y="4659"/>
            </w:pPr>
          </w:p>
        </w:tc>
      </w:tr>
      <w:tr>
        <w:trPr>
          <w:trHeight w:val="77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по должностному окладу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по выплатам компенсационного характера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по выплатам стимулирующего характера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5955" w:h="4570" w:wrap="none" w:vAnchor="page" w:hAnchor="page" w:x="470" w:y="4659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framePr w:w="15955" w:h="4570" w:wrap="none" w:vAnchor="page" w:hAnchor="page" w:x="470" w:y="4659"/>
            </w:pP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10</w:t>
            </w:r>
          </w:p>
        </w:tc>
      </w:tr>
      <w:tr>
        <w:trPr>
          <w:trHeight w:val="5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Школа (0702)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53,50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236 662,54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136 478,20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3 312,00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96 872,34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0,00%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1,15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6 325 766,05</w:t>
            </w:r>
          </w:p>
        </w:tc>
      </w:tr>
      <w:tr>
        <w:trPr>
          <w:trHeight w:val="79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Админи страши вно- управлен ческий персонал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87 019,80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58 013,20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29 006,60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0,00%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800 873,24</w:t>
            </w:r>
          </w:p>
        </w:tc>
      </w:tr>
      <w:tr>
        <w:trPr>
          <w:trHeight w:val="80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Учебно</w:t>
              <w:softHyphen/>
              <w:t>вспомогательный персонал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115 418,74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47553,00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67 865,74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0,00%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2 963 286,57</w:t>
            </w:r>
          </w:p>
        </w:tc>
      </w:tr>
      <w:tr>
        <w:trPr>
          <w:trHeight w:val="4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Обслуживающий персонал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41,50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34 224,00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30 912,00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3 312,00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0,00%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2 561 606,24</w:t>
            </w:r>
          </w:p>
        </w:tc>
      </w:tr>
      <w:tr>
        <w:trPr>
          <w:trHeight w:val="322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Итого: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236 662,54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15955" w:h="4570" w:wrap="none" w:vAnchor="page" w:hAnchor="page" w:x="470" w:y="4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6 325 766,05</w:t>
            </w:r>
          </w:p>
        </w:tc>
      </w:tr>
    </w:tbl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31" w:h="1216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17" w:y="262"/>
        <w:widowControl w:val="0"/>
        <w:rPr>
          <w:sz w:val="2"/>
          <w:szCs w:val="2"/>
        </w:rPr>
      </w:pPr>
      <w:r>
        <w:drawing>
          <wp:inline>
            <wp:extent cx="10326370" cy="7357745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10326370" cy="7357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031" w:h="1216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5" w:y="345"/>
        <w:widowControl w:val="0"/>
        <w:rPr>
          <w:sz w:val="2"/>
          <w:szCs w:val="2"/>
        </w:rPr>
      </w:pPr>
      <w:r>
        <w:drawing>
          <wp:inline>
            <wp:extent cx="7498080" cy="10460990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7498080" cy="10460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11"/>
        <w:keepNext w:val="0"/>
        <w:keepLines w:val="0"/>
        <w:framePr w:wrap="none" w:vAnchor="page" w:hAnchor="page" w:x="1767" w:y="9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</w:rPr>
        <w:t>1.3. Расчеты (обоснования) выплат персоналу по уходу за ребенком (городские средства)</w:t>
      </w:r>
    </w:p>
    <w:tbl>
      <w:tblPr>
        <w:tblOverlap w:val="never"/>
        <w:jc w:val="left"/>
        <w:tblLayout w:type="fixed"/>
      </w:tblPr>
      <w:tblGrid>
        <w:gridCol w:w="566"/>
        <w:gridCol w:w="2251"/>
        <w:gridCol w:w="1968"/>
        <w:gridCol w:w="1685"/>
        <w:gridCol w:w="1694"/>
        <w:gridCol w:w="1699"/>
      </w:tblGrid>
      <w:tr>
        <w:trPr>
          <w:trHeight w:val="10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Наименование расходов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Численность работников, получающих пособие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Количество выплат в год на одного работника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Размер выплаты (пособия) в месяц, руб.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Сумма, руб. (гр. 3 х гр. 4 х гр. 5)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6</w:t>
            </w:r>
          </w:p>
        </w:tc>
      </w:tr>
      <w:tr>
        <w:trPr>
          <w:trHeight w:val="8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Пособие по уходу за ребенком до полутора лет(0702)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0,00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9864" w:h="2477" w:wrap="none" w:vAnchor="page" w:hAnchor="page" w:x="1292" w:y="142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Итого: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3"/>
                <w:szCs w:val="13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64" w:h="2477" w:wrap="none" w:vAnchor="page" w:hAnchor="page" w:x="1292" w:y="14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0,00</w:t>
            </w:r>
          </w:p>
        </w:tc>
      </w:tr>
    </w:tbl>
    <w:p>
      <w:pPr>
        <w:pStyle w:val="Style6"/>
        <w:keepNext w:val="0"/>
        <w:keepLines w:val="0"/>
        <w:framePr w:w="11342" w:h="840" w:hRule="exact" w:wrap="none" w:vAnchor="page" w:hAnchor="page" w:x="265" w:y="4425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bookmarkStart w:id="10" w:name="bookmark10"/>
      <w:bookmarkStart w:id="8" w:name="bookmark8"/>
      <w:bookmarkStart w:id="9" w:name="bookmark9"/>
      <w:r>
        <w:rPr>
          <w:color w:val="000000"/>
          <w:spacing w:val="0"/>
          <w:w w:val="100"/>
          <w:position w:val="0"/>
        </w:rPr>
        <w:t>1.4. Расчеты (обоснования) страховых взносов на обязательное страхование в Пенсионный фонд</w:t>
        <w:br/>
        <w:t>Российской Федерации, в Фонд социального страхования Российской Федерации, в</w:t>
        <w:br/>
        <w:t>Федеральный фонд обязательного медицинского страхования (городские средства)</w:t>
      </w:r>
      <w:bookmarkEnd w:id="10"/>
      <w:bookmarkEnd w:id="8"/>
      <w:bookmarkEnd w:id="9"/>
    </w:p>
    <w:tbl>
      <w:tblPr>
        <w:tblOverlap w:val="never"/>
        <w:jc w:val="left"/>
        <w:tblLayout w:type="fixed"/>
      </w:tblPr>
      <w:tblGrid>
        <w:gridCol w:w="571"/>
        <w:gridCol w:w="6379"/>
        <w:gridCol w:w="1502"/>
        <w:gridCol w:w="1421"/>
      </w:tblGrid>
      <w:tr>
        <w:trPr>
          <w:trHeight w:val="10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Наименование государственного внебюджетного фонда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Размер базы для начисления страховых взносов, руб.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Сумма взноса, руб.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Страховые взносы в Пенсионный фонд Российской Федерации, всего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241 668,53</w:t>
            </w:r>
          </w:p>
        </w:tc>
      </w:tr>
      <w:tr>
        <w:trPr>
          <w:trHeight w:val="49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 том числе: по ставке 22,0%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6 325 766,05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241 668,53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по ставке 10,0%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6" w:lineRule="auto"/>
              <w:ind w:left="4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137 968,75</w:t>
            </w:r>
          </w:p>
        </w:tc>
      </w:tr>
      <w:tr>
        <w:trPr>
          <w:trHeight w:val="74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2.1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 том числе:</w:t>
            </w:r>
          </w:p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6 325 766,05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125 317,22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2.2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71" w:lineRule="auto"/>
              <w:ind w:left="4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2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2.3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6" w:lineRule="auto"/>
              <w:ind w:left="4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6 325 766,05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3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12 651,53</w:t>
            </w:r>
          </w:p>
        </w:tc>
      </w:tr>
      <w:tr>
        <w:trPr>
          <w:trHeight w:val="52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2.4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2" w:lineRule="auto"/>
              <w:ind w:left="4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обязательное социальное страхование от несчастных случаев на производстве и профессиональных заболеваний по ставке 0,_%*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2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2.5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6" w:lineRule="auto"/>
              <w:ind w:left="4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обязательное социальное страхование от несчастных случаев на производстве и профессиональных заболеваний по ставке 0,_%*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6 325 766,05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42 614,07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Кредиторская задолженность на 01.01.2021 г. по стах взносам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0,00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Итого: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422 251,35</w:t>
            </w:r>
          </w:p>
        </w:tc>
      </w:tr>
      <w:tr>
        <w:trPr>
          <w:trHeight w:val="27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58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 т.ч. (0702)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422 251,35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Возврат от ФСС по состоянию на 01.01.2021 г. (0702)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0,00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874" w:h="8386" w:wrap="none" w:vAnchor="page" w:hAnchor="page" w:x="1292" w:y="54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</w:rPr>
              <w:t>Всего: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</w:rPr>
              <w:t>422 251,35</w:t>
            </w:r>
          </w:p>
        </w:tc>
      </w:tr>
      <w:tr>
        <w:trPr>
          <w:trHeight w:val="307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58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в т.ч. (0702)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9874" w:h="8386" w:wrap="none" w:vAnchor="page" w:hAnchor="page" w:x="1292" w:y="54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</w:rPr>
              <w:t>422 251,35</w:t>
            </w:r>
          </w:p>
        </w:tc>
      </w:tr>
    </w:tbl>
    <w:p>
      <w:pPr>
        <w:pStyle w:val="Style11"/>
        <w:keepNext w:val="0"/>
        <w:keepLines w:val="0"/>
        <w:framePr w:w="9830" w:h="965" w:hRule="exact" w:wrap="none" w:vAnchor="page" w:hAnchor="page" w:x="1331" w:y="13895"/>
        <w:widowControl w:val="0"/>
        <w:shd w:val="clear" w:color="auto" w:fill="auto"/>
        <w:bidi w:val="0"/>
        <w:spacing w:before="0" w:after="0"/>
        <w:ind w:left="0" w:right="0"/>
        <w:jc w:val="left"/>
      </w:pPr>
      <w:r>
        <w:rPr>
          <w:color w:val="000000"/>
          <w:spacing w:val="0"/>
          <w:w w:val="100"/>
          <w:position w:val="0"/>
        </w:rPr>
        <w:t>* Указываются страховые тарифы, дифференцированные по классам профессионального риска, установленные Федеральным законом от 22 декабря 2005 г. № 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№ 52, ст. 5592; 2015, № 51. ст. 7233).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65" w:y="302"/>
        <w:widowControl w:val="0"/>
        <w:rPr>
          <w:sz w:val="2"/>
          <w:szCs w:val="2"/>
        </w:rPr>
      </w:pPr>
      <w:r>
        <w:drawing>
          <wp:inline>
            <wp:extent cx="7205345" cy="10295890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7205345" cy="10295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11" w:y="235"/>
        <w:widowControl w:val="0"/>
        <w:rPr>
          <w:sz w:val="2"/>
          <w:szCs w:val="2"/>
        </w:rPr>
      </w:pPr>
      <w:r>
        <w:drawing>
          <wp:inline>
            <wp:extent cx="7400290" cy="1057021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7400290" cy="10570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43" w:y="388"/>
        <w:widowControl w:val="0"/>
        <w:rPr>
          <w:sz w:val="2"/>
          <w:szCs w:val="2"/>
        </w:rPr>
      </w:pPr>
      <w:r>
        <w:drawing>
          <wp:inline>
            <wp:extent cx="7230110" cy="10283825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7230110" cy="10283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61" w:y="431"/>
        <w:widowControl w:val="0"/>
        <w:rPr>
          <w:sz w:val="2"/>
          <w:szCs w:val="2"/>
        </w:rPr>
      </w:pPr>
      <w:r>
        <w:drawing>
          <wp:inline>
            <wp:extent cx="7083425" cy="10417810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7083425" cy="10417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42" w:h="17184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31" w:y="345"/>
        <w:widowControl w:val="0"/>
        <w:rPr>
          <w:sz w:val="2"/>
          <w:szCs w:val="2"/>
        </w:rPr>
      </w:pPr>
      <w:r>
        <w:drawing>
          <wp:inline>
            <wp:extent cx="7247890" cy="1044829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7247890" cy="10448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042" w:h="17184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Основной текст (2)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CharStyle5">
    <w:name w:val="Заголовок №1_"/>
    <w:basedOn w:val="DefaultParagraphFont"/>
    <w:link w:val="Styl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7">
    <w:name w:val="Заголовок №2_"/>
    <w:basedOn w:val="DefaultParagraphFont"/>
    <w:link w:val="Styl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10">
    <w:name w:val="Основной текст (3)_"/>
    <w:basedOn w:val="DefaultParagraphFont"/>
    <w:link w:val="Styl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12">
    <w:name w:val="Подпись к таблице_"/>
    <w:basedOn w:val="DefaultParagraphFont"/>
    <w:link w:val="Style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CharStyle15">
    <w:name w:val="Другое_"/>
    <w:basedOn w:val="DefaultParagraphFont"/>
    <w:link w:val="Style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">
    <w:name w:val="Основной текст (2)"/>
    <w:basedOn w:val="Normal"/>
    <w:link w:val="CharStyle3"/>
    <w:pPr>
      <w:widowControl w:val="0"/>
      <w:shd w:val="clear" w:color="auto" w:fill="auto"/>
      <w:spacing w:after="600" w:line="257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Style4">
    <w:name w:val="Заголовок №1"/>
    <w:basedOn w:val="Normal"/>
    <w:link w:val="CharStyle5"/>
    <w:pPr>
      <w:widowControl w:val="0"/>
      <w:shd w:val="clear" w:color="auto" w:fill="auto"/>
      <w:spacing w:after="260"/>
      <w:jc w:val="center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6">
    <w:name w:val="Заголовок №2"/>
    <w:basedOn w:val="Normal"/>
    <w:link w:val="CharStyle7"/>
    <w:pPr>
      <w:widowControl w:val="0"/>
      <w:shd w:val="clear" w:color="auto" w:fill="auto"/>
      <w:spacing w:after="160" w:line="250" w:lineRule="auto"/>
      <w:jc w:val="center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9">
    <w:name w:val="Основной текст (3)"/>
    <w:basedOn w:val="Normal"/>
    <w:link w:val="CharStyle10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11">
    <w:name w:val="Подпись к таблице"/>
    <w:basedOn w:val="Normal"/>
    <w:link w:val="CharStyle12"/>
    <w:pPr>
      <w:widowControl w:val="0"/>
      <w:shd w:val="clear" w:color="auto" w:fill="auto"/>
      <w:spacing w:line="276" w:lineRule="auto"/>
      <w:ind w:firstLine="46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Style14">
    <w:name w:val="Другое"/>
    <w:basedOn w:val="Normal"/>
    <w:link w:val="CharStyle15"/>
    <w:pPr>
      <w:widowControl w:val="0"/>
      <w:shd w:val="clear" w:color="auto" w:fill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/Relationships>
</file>